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Credit EUR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969500DKF52VVXDFKG23</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obligations à taux fixe, de qualité « investment grade », libellées en euro et émises par des entreprises, tout en améliorant les critères environnementaux, sociaux et de gouvernance (ESG) dans le processus de sélection et d’analyse des titres du portefeuille par rapport à l’indice Bloomberg Euro Corporate Bond Index (l’« Indicateur de Référence »).</w:t>
      </w:r>
    </w:p>
    <w:p w:rsidR="00B227D6" w:rsidRPr="00AA29A1" w:rsidP="003A5B9D" w14:paraId="2285BA1E" w14:textId="1FBB9CD0">
      <w:pPr>
        <w:jc w:val="both"/>
      </w:pPr>
      <w:r w:rsidRPr="00AA29A1">
        <w:rPr>
          <w:rFonts w:ascii="Calibri" w:hAnsi="Calibri" w:cs="Calibri"/>
        </w:rPr>
        <w:t>L’univers d’investissement du FCP se compose des titres de l’indice Bloomberg Euro Corporate Bond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1) Une approche d'exclusions normatives et sectorielles qui vise à exclure des titres de l’Univers d’Investissement en fonction de critères détaillés dans la  section « indicateurs de durabilité » au début de ce document.</w:t>
      </w: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0,5% à 1%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w:t>
      </w:r>
    </w:p>
    <w:p w:rsidRPr="00AA29A1" w:rsidP="003A5B9D">
      <w:pPr>
        <w:jc w:val="both"/>
        <w:rPr>
          <w:rFonts w:ascii="Calibri" w:hAnsi="Calibri" w:cs="Calibri"/>
        </w:rPr>
      </w:pPr>
      <w:r w:rsidRPr="00AA29A1">
        <w:rPr>
          <w:rFonts w:ascii="Calibri" w:hAnsi="Calibri" w:cs="Calibri"/>
        </w:rPr>
        <w:t>•</w:t>
        <w:tab/>
        <w:t>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